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9360"/>
      </w:tblGrid>
      <w:tr>
        <w:tc>
          <w:tcPr>
            <w:tcW w:type="dxa" w:w="9360"/>
            <w:shd w:val="clear" w:color="auto" w:fill="004884"/>
            <w:tcMar>
              <w:top w:w="150" w:type="dxa"/>
              <w:bottom w:w="150" w:type="dxa"/>
            </w:tcMar>
          </w:tcPr>
          <w:p>
            <w:pPr>
              <w:jc w:val="center"/>
            </w:pPr>
            <w:r>
              <w:rPr>
                <w:rFonts w:ascii="Times New Roman" w:hAnsi="Times New Roman"/>
                <w:b/>
                <w:color w:val="FFFFFF"/>
                <w:sz w:val="32"/>
              </w:rPr>
              <w:t>Sales Standard Operating Procedure</w:t>
            </w:r>
          </w:p>
        </w:tc>
      </w:tr>
    </w:tbl>
    <w:p>
      <w:pPr>
        <w:spacing w:before="160" w:after="0"/>
      </w:pPr>
    </w:p>
    <w:tbl>
      <w:tblPr>
        <w:tblW w:type="auto" w:w="0"/>
        <w:tblLayout w:type="fixed"/>
        <w:tblLook w:firstColumn="1" w:firstRow="1" w:lastColumn="0" w:lastRow="0" w:noHBand="0" w:noVBand="1" w:val="04A0"/>
        <w:tblBorders>
          <w:top w:val="nil"/>
          <w:left w:val="nil"/>
          <w:bottom w:val="nil"/>
          <w:right w:val="nil"/>
          <w:insideH w:val="nil"/>
          <w:insideV w:val="nil"/>
        </w:tblBorders>
      </w:tblPr>
      <w:tblGrid>
        <w:gridCol w:w="4680"/>
        <w:gridCol w:w="4680"/>
      </w:tblGrid>
      <w:tr>
        <w:tc>
          <w:tcPr>
            <w:tcW w:type="dxa" w:w="4680"/>
          </w:tcPr>
          <w:p>
            <w:r>
              <w:rPr>
                <w:rFonts w:ascii="Times New Roman" w:hAnsi="Times New Roman"/>
                <w:color w:val="09090B"/>
                <w:sz w:val="22"/>
              </w:rPr>
              <w:t xml:space="preserve">Department: </w:t>
            </w:r>
            <w:r>
              <w:rPr>
                <w:rFonts w:ascii="Times New Roman" w:hAnsi="Times New Roman"/>
                <w:color w:val="09090B"/>
                <w:sz w:val="22"/>
              </w:rPr>
              <w:t>Sales</w:t>
            </w:r>
          </w:p>
        </w:tc>
        <w:tc>
          <w:tcPr>
            <w:tcW w:type="dxa" w:w="4680"/>
          </w:tcPr>
          <w:p>
            <w:pPr>
              <w:jc w:val="right"/>
            </w:pPr>
            <w:r>
              <w:rPr>
                <w:rFonts w:ascii="Times New Roman" w:hAnsi="Times New Roman"/>
                <w:color w:val="09090B"/>
                <w:sz w:val="22"/>
              </w:rPr>
              <w:t xml:space="preserve">Version: </w:t>
            </w:r>
            <w:r>
              <w:rPr>
                <w:rFonts w:ascii="Times New Roman" w:hAnsi="Times New Roman"/>
                <w:color w:val="70707B"/>
                <w:sz w:val="22"/>
              </w:rPr>
              <w:t>[1.0]</w:t>
            </w:r>
          </w:p>
        </w:tc>
      </w:tr>
      <w:tr>
        <w:tc>
          <w:tcPr>
            <w:tcW w:type="dxa" w:w="4680"/>
          </w:tcPr>
          <w:p>
            <w:r>
              <w:rPr>
                <w:rFonts w:ascii="Times New Roman" w:hAnsi="Times New Roman"/>
                <w:color w:val="09090B"/>
                <w:sz w:val="22"/>
              </w:rPr>
              <w:t xml:space="preserve">Document ID: </w:t>
            </w:r>
            <w:r>
              <w:rPr>
                <w:rFonts w:ascii="Times New Roman" w:hAnsi="Times New Roman"/>
                <w:color w:val="70707B"/>
                <w:sz w:val="22"/>
              </w:rPr>
              <w:t>[SOP-DEPT-###]</w:t>
            </w:r>
          </w:p>
        </w:tc>
        <w:tc>
          <w:tcPr>
            <w:tcW w:type="dxa" w:w="4680"/>
          </w:tcPr>
          <w:p>
            <w:pPr>
              <w:jc w:val="right"/>
            </w:pPr>
            <w:r>
              <w:rPr>
                <w:rFonts w:ascii="Times New Roman" w:hAnsi="Times New Roman"/>
                <w:color w:val="09090B"/>
                <w:sz w:val="22"/>
              </w:rPr>
              <w:t xml:space="preserve">Effective Date: </w:t>
            </w:r>
            <w:r>
              <w:rPr>
                <w:rFonts w:ascii="Times New Roman" w:hAnsi="Times New Roman"/>
                <w:color w:val="70707B"/>
                <w:sz w:val="22"/>
              </w:rPr>
              <w:t>[MM/DD/YYYY]</w:t>
            </w:r>
          </w:p>
        </w:tc>
      </w:tr>
    </w:tbl>
    <w:p>
      <w:pPr>
        <w:spacing w:before="240" w:after="240"/>
        <w:pBdr>
          <w:bottom w:val="single" w:sz="12" w:color="004884" w:space="1"/>
        </w:pBdr>
      </w:pPr>
    </w:p>
    <w:p>
      <w:pPr>
        <w:pStyle w:val="SOPHeading1"/>
      </w:pPr>
      <w:r>
        <w:rPr>
          <w:rFonts w:ascii="Times New Roman" w:hAnsi="Times New Roman"/>
          <w:b/>
          <w:color w:val="09090B"/>
          <w:sz w:val="22"/>
        </w:rPr>
        <w:t>1. Purpose</w:t>
      </w:r>
    </w:p>
    <w:p>
      <w:pPr>
        <w:pStyle w:val="SOPBody"/>
      </w:pPr>
      <w:r>
        <w:rPr>
          <w:rFonts w:ascii="Times New Roman" w:hAnsi="Times New Roman"/>
          <w:color w:val="09090B"/>
          <w:sz w:val="22"/>
        </w:rPr>
        <w:t>This Standard Operating Procedure establishes guidelines for sales operations to ensure consistent sales methodology, accurate pipeline management, and achievement of revenue targets.</w:t>
      </w:r>
    </w:p>
    <w:p>
      <w:pPr>
        <w:pStyle w:val="SOPHeading1"/>
      </w:pPr>
      <w:r>
        <w:rPr>
          <w:rFonts w:ascii="Times New Roman" w:hAnsi="Times New Roman"/>
          <w:b/>
          <w:color w:val="09090B"/>
          <w:sz w:val="22"/>
        </w:rPr>
        <w:t>2. Scope</w:t>
      </w:r>
    </w:p>
    <w:p>
      <w:pPr>
        <w:pStyle w:val="SOPBody"/>
      </w:pPr>
      <w:r>
        <w:rPr>
          <w:rFonts w:ascii="Times New Roman" w:hAnsi="Times New Roman"/>
          <w:color w:val="09090B"/>
          <w:sz w:val="22"/>
        </w:rPr>
        <w:t>This procedure applies to all sales personnel including sales representatives, account executives, sales managers, and business development staff.</w:t>
      </w:r>
    </w:p>
    <w:p>
      <w:pPr>
        <w:pStyle w:val="SOPBody"/>
      </w:pPr>
      <w:r>
        <w:rPr>
          <w:rFonts w:ascii="Times New Roman" w:hAnsi="Times New Roman"/>
          <w:color w:val="09090B"/>
          <w:sz w:val="22"/>
        </w:rPr>
        <w:br/>
        <w:t>This procedure applies to:</w:t>
      </w:r>
    </w:p>
    <w:p>
      <w:pPr>
        <w:pStyle w:val="SOPBody"/>
        <w:ind w:left="360"/>
      </w:pPr>
      <w:r>
        <w:rPr>
          <w:rFonts w:ascii="Times New Roman" w:hAnsi="Times New Roman"/>
          <w:color w:val="09090B"/>
          <w:sz w:val="22"/>
        </w:rPr>
        <w:t xml:space="preserve">• </w:t>
      </w:r>
      <w:r>
        <w:rPr>
          <w:rFonts w:ascii="Times New Roman" w:hAnsi="Times New Roman"/>
          <w:color w:val="09090B"/>
          <w:sz w:val="22"/>
        </w:rPr>
        <w:t>Sales Development Representatives (SDRs)</w:t>
      </w:r>
    </w:p>
    <w:p>
      <w:pPr>
        <w:pStyle w:val="SOPBody"/>
        <w:ind w:left="360"/>
      </w:pPr>
      <w:r>
        <w:rPr>
          <w:rFonts w:ascii="Times New Roman" w:hAnsi="Times New Roman"/>
          <w:color w:val="09090B"/>
          <w:sz w:val="22"/>
        </w:rPr>
        <w:t xml:space="preserve">• </w:t>
      </w:r>
      <w:r>
        <w:rPr>
          <w:rFonts w:ascii="Times New Roman" w:hAnsi="Times New Roman"/>
          <w:color w:val="09090B"/>
          <w:sz w:val="22"/>
        </w:rPr>
        <w:t>Account Executives (AEs)</w:t>
      </w:r>
    </w:p>
    <w:p>
      <w:pPr>
        <w:pStyle w:val="SOPBody"/>
        <w:ind w:left="360"/>
      </w:pPr>
      <w:r>
        <w:rPr>
          <w:rFonts w:ascii="Times New Roman" w:hAnsi="Times New Roman"/>
          <w:color w:val="09090B"/>
          <w:sz w:val="22"/>
        </w:rPr>
        <w:t xml:space="preserve">• </w:t>
      </w:r>
      <w:r>
        <w:rPr>
          <w:rFonts w:ascii="Times New Roman" w:hAnsi="Times New Roman"/>
          <w:color w:val="09090B"/>
          <w:sz w:val="22"/>
        </w:rPr>
        <w:t>Sales Managers and Directors</w:t>
      </w:r>
    </w:p>
    <w:p>
      <w:pPr>
        <w:pStyle w:val="SOPBody"/>
        <w:ind w:left="360"/>
      </w:pPr>
      <w:r>
        <w:rPr>
          <w:rFonts w:ascii="Times New Roman" w:hAnsi="Times New Roman"/>
          <w:color w:val="09090B"/>
          <w:sz w:val="22"/>
        </w:rPr>
        <w:t xml:space="preserve">• </w:t>
      </w:r>
      <w:r>
        <w:rPr>
          <w:rFonts w:ascii="Times New Roman" w:hAnsi="Times New Roman"/>
          <w:color w:val="09090B"/>
          <w:sz w:val="22"/>
        </w:rPr>
        <w:t>Business Development Representatives</w:t>
      </w:r>
    </w:p>
    <w:p>
      <w:pPr>
        <w:pStyle w:val="SOPBody"/>
        <w:ind w:left="360"/>
      </w:pPr>
      <w:r>
        <w:rPr>
          <w:rFonts w:ascii="Times New Roman" w:hAnsi="Times New Roman"/>
          <w:color w:val="09090B"/>
          <w:sz w:val="22"/>
        </w:rPr>
        <w:t xml:space="preserve">• </w:t>
      </w:r>
      <w:r>
        <w:rPr>
          <w:rFonts w:ascii="Times New Roman" w:hAnsi="Times New Roman"/>
          <w:color w:val="09090B"/>
          <w:sz w:val="22"/>
        </w:rPr>
        <w:t>Sales Operations staff</w:t>
      </w:r>
    </w:p>
    <w:p>
      <w:pPr>
        <w:pStyle w:val="SOPBody"/>
      </w:pPr>
      <w:r>
        <w:rPr>
          <w:rFonts w:ascii="Times New Roman" w:hAnsi="Times New Roman"/>
          <w:color w:val="09090B"/>
          <w:sz w:val="22"/>
        </w:rPr>
        <w:br/>
        <w:t>Exclusions:</w:t>
      </w:r>
    </w:p>
    <w:p>
      <w:pPr>
        <w:pStyle w:val="SOPBody"/>
      </w:pPr>
      <w:r>
        <w:rPr>
          <w:rFonts w:ascii="Times New Roman" w:hAnsi="Times New Roman"/>
          <w:color w:val="09090B"/>
          <w:sz w:val="22"/>
        </w:rPr>
        <w:t>[Describe any activities, processes, or personnel NOT covered by this SOP]</w:t>
      </w:r>
    </w:p>
    <w:p>
      <w:pPr>
        <w:pStyle w:val="SOPHeading1"/>
      </w:pPr>
      <w:r>
        <w:rPr>
          <w:rFonts w:ascii="Times New Roman" w:hAnsi="Times New Roman"/>
          <w:b/>
          <w:color w:val="09090B"/>
          <w:sz w:val="22"/>
        </w:rPr>
        <w:t>3. Definitions</w:t>
      </w:r>
    </w:p>
    <w:p>
      <w:pPr>
        <w:pStyle w:val="SOPBody"/>
      </w:pPr>
      <w:r>
        <w:rPr>
          <w:rFonts w:ascii="Times New Roman" w:hAnsi="Times New Roman"/>
          <w:color w:val="09090B"/>
          <w:sz w:val="22"/>
        </w:rPr>
        <w:t>The following terms have specific meanings within this procedure. Defined terms are capitalized when used throughout this document.</w:t>
      </w:r>
    </w:p>
    <w:tbl>
      <w:tblPr>
        <w:tblW w:type="auto" w:w="0"/>
        <w:jc w:val="center"/>
        <w:tblLook w:firstColumn="1" w:firstRow="1" w:lastColumn="0" w:lastRow="0" w:noHBand="0" w:noVBand="1" w:val="04A0"/>
      </w:tblPr>
      <w:tblGrid>
        <w:gridCol w:w="4680"/>
        <w:gridCol w:w="4680"/>
      </w:tblGrid>
      <w:tr>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Term</w:t>
            </w:r>
          </w:p>
        </w:tc>
        <w:tc>
          <w:tcPr>
            <w:tcW w:type="dxa" w:w="4680"/>
            <w:tcBorders>
              <w:top w:val="single" w:sz="6" w:color="000000"/>
              <w:left w:val="single" w:sz="6" w:color="000000"/>
              <w:bottom w:val="single" w:sz="6" w:color="000000"/>
              <w:right w:val="single" w:sz="6" w:color="000000"/>
            </w:tcBorders>
          </w:tcPr>
          <w:p>
            <w:r>
              <w:rPr>
                <w:rFonts w:ascii="Times New Roman" w:hAnsi="Times New Roman"/>
                <w:b/>
                <w:color w:val="09090B"/>
                <w:sz w:val="22"/>
              </w:rPr>
              <w:t>Definition</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ACV</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Annual Contract Value - yearly value of a subscription/contract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MQL</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Marketing Qualified Lead - prospect meeting marketing engagement criteria</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Pipeline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Sum of potential revenue from all active sales opportunities</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SQL</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Sales Qualified Lead - prospect verified and accepted by sales team</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TCV</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Total Contract Value - full value of a multi-year contract</w:t>
            </w:r>
          </w:p>
        </w:tc>
      </w:tr>
      <w:tr>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Win Rate</w:t>
            </w:r>
          </w:p>
        </w:tc>
        <w:tc>
          <w:tcPr>
            <w:tcW w:type="dxa" w:w="4680"/>
            <w:tcBorders>
              <w:top w:val="single" w:sz="6" w:color="000000"/>
              <w:left w:val="single" w:sz="6" w:color="000000"/>
              <w:bottom w:val="single" w:sz="6" w:color="000000"/>
              <w:right w:val="single" w:sz="6" w:color="000000"/>
            </w:tcBorders>
          </w:tcPr>
          <w:p>
            <w:r>
              <w:rPr>
                <w:rFonts w:ascii="Times New Roman" w:hAnsi="Times New Roman"/>
                <w:color w:val="09090B"/>
                <w:sz w:val="22"/>
              </w:rPr>
              <w:t>Percentage of opportunities that result in closed-won deals</w:t>
            </w:r>
          </w:p>
        </w:tc>
      </w:tr>
    </w:tbl>
    <w:p/>
    <w:p>
      <w:pPr>
        <w:pStyle w:val="SOPHeading1"/>
      </w:pPr>
      <w:r>
        <w:rPr>
          <w:rFonts w:ascii="Times New Roman" w:hAnsi="Times New Roman"/>
          <w:b/>
          <w:color w:val="09090B"/>
          <w:sz w:val="22"/>
        </w:rPr>
        <w:t>4. Responsibilities</w:t>
      </w:r>
    </w:p>
    <w:p>
      <w:pPr>
        <w:pStyle w:val="SOPBody"/>
      </w:pPr>
      <w:r>
        <w:rPr>
          <w:rFonts w:ascii="Times New Roman" w:hAnsi="Times New Roman"/>
          <w:color w:val="09090B"/>
          <w:sz w:val="22"/>
        </w:rPr>
        <w:t>The following roles and positions have specific responsibilities for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Role/Position</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Responsibilities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[VP of Sales]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set sales strategy, quotas, and territory assignments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[Sales Manager]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coach team members, conduct pipeline reviews, and approve discounts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[Account Executives]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manage full sales cycle from qualified lead to close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[SDRs/BDRs]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prospect, qualify leads, and schedule meetings for AEs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[Sales Operations]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Will maintain CRM hygiene, reporting, and process documentation</w:t>
            </w:r>
          </w:p>
        </w:tc>
      </w:tr>
    </w:tbl>
    <w:p/>
    <w:p>
      <w:pPr>
        <w:pStyle w:val="SOPHeading1"/>
      </w:pPr>
      <w:r>
        <w:rPr>
          <w:rFonts w:ascii="Times New Roman" w:hAnsi="Times New Roman"/>
          <w:b/>
          <w:color w:val="09090B"/>
          <w:sz w:val="22"/>
        </w:rPr>
        <w:t>5. Sales Process</w:t>
      </w:r>
    </w:p>
    <w:p>
      <w:pPr>
        <w:pStyle w:val="SOPHeading2"/>
      </w:pPr>
      <w:r>
        <w:rPr>
          <w:rFonts w:ascii="Times New Roman" w:hAnsi="Times New Roman"/>
          <w:b/>
          <w:color w:val="09090B"/>
          <w:sz w:val="22"/>
        </w:rPr>
        <w:t>5.1 Lead Qualification (BANT)</w:t>
      </w:r>
    </w:p>
    <w:p>
      <w:pPr>
        <w:pStyle w:val="SOPBody"/>
        <w:ind w:left="360"/>
      </w:pPr>
      <w:r>
        <w:rPr>
          <w:rFonts w:ascii="Times New Roman" w:hAnsi="Times New Roman"/>
          <w:b/>
          <w:color w:val="09090B"/>
          <w:sz w:val="22"/>
        </w:rPr>
        <w:t xml:space="preserve">1. </w:t>
      </w:r>
      <w:r>
        <w:rPr>
          <w:rFonts w:ascii="Times New Roman" w:hAnsi="Times New Roman"/>
          <w:color w:val="09090B"/>
          <w:sz w:val="22"/>
        </w:rPr>
        <w:t>Review lead source and all available information in CRM</w:t>
      </w:r>
    </w:p>
    <w:p>
      <w:pPr>
        <w:pStyle w:val="SOPBody"/>
        <w:ind w:left="360"/>
      </w:pPr>
      <w:r>
        <w:rPr>
          <w:rFonts w:ascii="Times New Roman" w:hAnsi="Times New Roman"/>
          <w:b/>
          <w:color w:val="09090B"/>
          <w:sz w:val="22"/>
        </w:rPr>
        <w:t xml:space="preserve">2. </w:t>
      </w:r>
      <w:r>
        <w:rPr>
          <w:rFonts w:ascii="Times New Roman" w:hAnsi="Times New Roman"/>
          <w:color w:val="09090B"/>
          <w:sz w:val="22"/>
        </w:rPr>
        <w:t>Conduct discovery call within 24 hours of lead assignment</w:t>
      </w:r>
    </w:p>
    <w:p>
      <w:pPr>
        <w:pStyle w:val="SOPBody"/>
        <w:ind w:left="360"/>
      </w:pPr>
      <w:r>
        <w:rPr>
          <w:rFonts w:ascii="Times New Roman" w:hAnsi="Times New Roman"/>
          <w:b/>
          <w:color w:val="09090B"/>
          <w:sz w:val="22"/>
        </w:rPr>
        <w:t xml:space="preserve">3. </w:t>
      </w:r>
      <w:r>
        <w:rPr>
          <w:rFonts w:ascii="Times New Roman" w:hAnsi="Times New Roman"/>
          <w:color w:val="09090B"/>
          <w:sz w:val="22"/>
        </w:rPr>
        <w:t>Apply BANT criteria: Budget, Authority, Need, Timeline</w:t>
      </w:r>
    </w:p>
    <w:p>
      <w:pPr>
        <w:pStyle w:val="SOPBody"/>
        <w:ind w:left="360"/>
      </w:pPr>
      <w:r>
        <w:rPr>
          <w:rFonts w:ascii="Times New Roman" w:hAnsi="Times New Roman"/>
          <w:b/>
          <w:color w:val="09090B"/>
          <w:sz w:val="22"/>
        </w:rPr>
        <w:t xml:space="preserve">4. </w:t>
      </w:r>
      <w:r>
        <w:rPr>
          <w:rFonts w:ascii="Times New Roman" w:hAnsi="Times New Roman"/>
          <w:color w:val="09090B"/>
          <w:sz w:val="22"/>
        </w:rPr>
        <w:t>Update lead status in CRM immediately after qualification</w:t>
      </w:r>
    </w:p>
    <w:p>
      <w:pPr>
        <w:pStyle w:val="SOPBody"/>
        <w:ind w:left="360"/>
      </w:pPr>
      <w:r>
        <w:rPr>
          <w:rFonts w:ascii="Times New Roman" w:hAnsi="Times New Roman"/>
          <w:b/>
          <w:color w:val="09090B"/>
          <w:sz w:val="22"/>
        </w:rPr>
        <w:t xml:space="preserve">5. </w:t>
      </w:r>
      <w:r>
        <w:rPr>
          <w:rFonts w:ascii="Times New Roman" w:hAnsi="Times New Roman"/>
          <w:color w:val="09090B"/>
          <w:sz w:val="22"/>
        </w:rPr>
        <w:t>Convert qualified leads to opportunity stage with complete data</w:t>
      </w:r>
    </w:p>
    <w:p>
      <w:pPr>
        <w:pStyle w:val="SOPBody"/>
        <w:ind w:left="360"/>
      </w:pPr>
      <w:r>
        <w:rPr>
          <w:rFonts w:ascii="Times New Roman" w:hAnsi="Times New Roman"/>
          <w:b/>
          <w:color w:val="09090B"/>
          <w:sz w:val="22"/>
        </w:rPr>
        <w:t xml:space="preserve">6. </w:t>
      </w:r>
      <w:r>
        <w:rPr>
          <w:rFonts w:ascii="Times New Roman" w:hAnsi="Times New Roman"/>
          <w:color w:val="09090B"/>
          <w:sz w:val="22"/>
        </w:rPr>
        <w:t>Return unqualified leads to marketing with reason code</w:t>
      </w:r>
    </w:p>
    <w:p>
      <w:pPr>
        <w:pStyle w:val="SOPHeading2"/>
      </w:pPr>
      <w:r>
        <w:rPr>
          <w:rFonts w:ascii="Times New Roman" w:hAnsi="Times New Roman"/>
          <w:b/>
          <w:color w:val="09090B"/>
          <w:sz w:val="22"/>
        </w:rPr>
        <w:t>5.2 Opportunity Management</w:t>
      </w:r>
    </w:p>
    <w:p>
      <w:pPr>
        <w:pStyle w:val="SOPBody"/>
        <w:ind w:left="360"/>
      </w:pPr>
      <w:r>
        <w:rPr>
          <w:rFonts w:ascii="Times New Roman" w:hAnsi="Times New Roman"/>
          <w:color w:val="09090B"/>
          <w:sz w:val="22"/>
        </w:rPr>
        <w:t xml:space="preserve">• </w:t>
      </w:r>
      <w:r>
        <w:rPr>
          <w:rFonts w:ascii="Times New Roman" w:hAnsi="Times New Roman"/>
          <w:color w:val="09090B"/>
          <w:sz w:val="22"/>
        </w:rPr>
        <w:t>Create opportunity record with complete and accurate information</w:t>
      </w:r>
    </w:p>
    <w:p>
      <w:pPr>
        <w:pStyle w:val="SOPBody"/>
        <w:ind w:left="360"/>
      </w:pPr>
      <w:r>
        <w:rPr>
          <w:rFonts w:ascii="Times New Roman" w:hAnsi="Times New Roman"/>
          <w:color w:val="09090B"/>
          <w:sz w:val="22"/>
        </w:rPr>
        <w:t xml:space="preserve">• </w:t>
      </w:r>
      <w:r>
        <w:rPr>
          <w:rFonts w:ascii="Times New Roman" w:hAnsi="Times New Roman"/>
          <w:color w:val="09090B"/>
          <w:sz w:val="22"/>
        </w:rPr>
        <w:t>Set pipeline stage based on objective buyer engagement criteria</w:t>
      </w:r>
    </w:p>
    <w:p>
      <w:pPr>
        <w:pStyle w:val="SOPBody"/>
        <w:ind w:left="360"/>
      </w:pPr>
      <w:r>
        <w:rPr>
          <w:rFonts w:ascii="Times New Roman" w:hAnsi="Times New Roman"/>
          <w:color w:val="09090B"/>
          <w:sz w:val="22"/>
        </w:rPr>
        <w:t xml:space="preserve">• </w:t>
      </w:r>
      <w:r>
        <w:rPr>
          <w:rFonts w:ascii="Times New Roman" w:hAnsi="Times New Roman"/>
          <w:color w:val="09090B"/>
          <w:sz w:val="22"/>
        </w:rPr>
        <w:t>Update close date and deal value as new information emerges</w:t>
      </w:r>
    </w:p>
    <w:p>
      <w:pPr>
        <w:pStyle w:val="SOPBody"/>
        <w:ind w:left="360"/>
      </w:pPr>
      <w:r>
        <w:rPr>
          <w:rFonts w:ascii="Times New Roman" w:hAnsi="Times New Roman"/>
          <w:color w:val="09090B"/>
          <w:sz w:val="22"/>
        </w:rPr>
        <w:t xml:space="preserve">• </w:t>
      </w:r>
      <w:r>
        <w:rPr>
          <w:rFonts w:ascii="Times New Roman" w:hAnsi="Times New Roman"/>
          <w:color w:val="09090B"/>
          <w:sz w:val="22"/>
        </w:rPr>
        <w:t>Document ALL customer interactions as activities in CRM</w:t>
      </w:r>
    </w:p>
    <w:p>
      <w:pPr>
        <w:pStyle w:val="SOPBody"/>
        <w:ind w:left="360"/>
      </w:pPr>
      <w:r>
        <w:rPr>
          <w:rFonts w:ascii="Times New Roman" w:hAnsi="Times New Roman"/>
          <w:color w:val="09090B"/>
          <w:sz w:val="22"/>
        </w:rPr>
        <w:t xml:space="preserve">• </w:t>
      </w:r>
      <w:r>
        <w:rPr>
          <w:rFonts w:ascii="Times New Roman" w:hAnsi="Times New Roman"/>
          <w:color w:val="09090B"/>
          <w:sz w:val="22"/>
        </w:rPr>
        <w:t>Maintain minimum 3x pipeline coverage to quarterly quota</w:t>
      </w:r>
    </w:p>
    <w:p>
      <w:pPr>
        <w:pStyle w:val="SOPBody"/>
        <w:ind w:left="360"/>
      </w:pPr>
      <w:r>
        <w:rPr>
          <w:rFonts w:ascii="Times New Roman" w:hAnsi="Times New Roman"/>
          <w:color w:val="09090B"/>
          <w:sz w:val="22"/>
        </w:rPr>
        <w:t xml:space="preserve">• </w:t>
      </w:r>
      <w:r>
        <w:rPr>
          <w:rFonts w:ascii="Times New Roman" w:hAnsi="Times New Roman"/>
          <w:color w:val="09090B"/>
          <w:sz w:val="22"/>
        </w:rPr>
        <w:t>Update opportunities before every pipeline review meeting</w:t>
      </w:r>
    </w:p>
    <w:p>
      <w:pPr>
        <w:pStyle w:val="SOPHeading2"/>
      </w:pPr>
      <w:r>
        <w:rPr>
          <w:rFonts w:ascii="Times New Roman" w:hAnsi="Times New Roman"/>
          <w:b/>
          <w:color w:val="09090B"/>
          <w:sz w:val="22"/>
        </w:rPr>
        <w:t>5.3 Deal Stages and Criteria</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Stage</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Probability</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Entry Criteria</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Required Activities</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Prospecting</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Initial contact made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Research complete, first outreach sent</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Qualification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25%</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BANT confirmed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Discovery call completed, needs documented</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Proposal/Demo</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50%</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Solution presented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Demo delivered, proposal sent</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Negotiation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75%</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Terms being discussed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Pricing approved, contract sent</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Closed Won</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100%</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Contract signed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Handoff to implementation complete</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Closed Lost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0%</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Deal lost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Loss reason documented, debrief complete</w:t>
            </w:r>
          </w:p>
        </w:tc>
      </w:tr>
    </w:tbl>
    <w:p/>
    <w:p>
      <w:pPr>
        <w:pStyle w:val="SOPHeading1"/>
      </w:pPr>
      <w:r>
        <w:rPr>
          <w:rFonts w:ascii="Times New Roman" w:hAnsi="Times New Roman"/>
          <w:b/>
          <w:color w:val="09090B"/>
          <w:sz w:val="22"/>
        </w:rPr>
        <w:t>6. CRM Usage Guidelines</w:t>
      </w:r>
    </w:p>
    <w:p>
      <w:pPr>
        <w:pStyle w:val="SOPHeading2"/>
      </w:pPr>
      <w:r>
        <w:rPr>
          <w:rFonts w:ascii="Times New Roman" w:hAnsi="Times New Roman"/>
          <w:b/>
          <w:color w:val="09090B"/>
          <w:sz w:val="22"/>
        </w:rPr>
        <w:t>6.1 Data Entry Standards</w:t>
      </w:r>
    </w:p>
    <w:p>
      <w:pPr>
        <w:pStyle w:val="SOPBody"/>
        <w:ind w:left="360"/>
      </w:pPr>
      <w:r>
        <w:rPr>
          <w:rFonts w:ascii="Times New Roman" w:hAnsi="Times New Roman"/>
          <w:color w:val="09090B"/>
          <w:sz w:val="22"/>
        </w:rPr>
        <w:t xml:space="preserve">• </w:t>
      </w:r>
      <w:r>
        <w:rPr>
          <w:rFonts w:ascii="Times New Roman" w:hAnsi="Times New Roman"/>
          <w:color w:val="09090B"/>
          <w:sz w:val="22"/>
        </w:rPr>
        <w:t>All leads must be entered or updated within 24 hours of receipt</w:t>
      </w:r>
    </w:p>
    <w:p>
      <w:pPr>
        <w:pStyle w:val="SOPBody"/>
        <w:ind w:left="360"/>
      </w:pPr>
      <w:r>
        <w:rPr>
          <w:rFonts w:ascii="Times New Roman" w:hAnsi="Times New Roman"/>
          <w:color w:val="09090B"/>
          <w:sz w:val="22"/>
        </w:rPr>
        <w:t xml:space="preserve">• </w:t>
      </w:r>
      <w:r>
        <w:rPr>
          <w:rFonts w:ascii="Times New Roman" w:hAnsi="Times New Roman"/>
          <w:color w:val="09090B"/>
          <w:sz w:val="22"/>
        </w:rPr>
        <w:t>Opportunities require complete contact and company information</w:t>
      </w:r>
    </w:p>
    <w:p>
      <w:pPr>
        <w:pStyle w:val="SOPBody"/>
        <w:ind w:left="360"/>
      </w:pPr>
      <w:r>
        <w:rPr>
          <w:rFonts w:ascii="Times New Roman" w:hAnsi="Times New Roman"/>
          <w:color w:val="09090B"/>
          <w:sz w:val="22"/>
        </w:rPr>
        <w:t xml:space="preserve">• </w:t>
      </w:r>
      <w:r>
        <w:rPr>
          <w:rFonts w:ascii="Times New Roman" w:hAnsi="Times New Roman"/>
          <w:color w:val="09090B"/>
          <w:sz w:val="22"/>
        </w:rPr>
        <w:t>Activity logging required for ALL customer touchpoints (calls, emails, meetings)</w:t>
      </w:r>
    </w:p>
    <w:p>
      <w:pPr>
        <w:pStyle w:val="SOPBody"/>
        <w:ind w:left="360"/>
      </w:pPr>
      <w:r>
        <w:rPr>
          <w:rFonts w:ascii="Times New Roman" w:hAnsi="Times New Roman"/>
          <w:color w:val="09090B"/>
          <w:sz w:val="22"/>
        </w:rPr>
        <w:t xml:space="preserve">• </w:t>
      </w:r>
      <w:r>
        <w:rPr>
          <w:rFonts w:ascii="Times New Roman" w:hAnsi="Times New Roman"/>
          <w:color w:val="09090B"/>
          <w:sz w:val="22"/>
        </w:rPr>
        <w:t>Notes must include summary, next steps, and action items with dates</w:t>
      </w:r>
    </w:p>
    <w:p>
      <w:pPr>
        <w:pStyle w:val="SOPBody"/>
        <w:ind w:left="360"/>
      </w:pPr>
      <w:r>
        <w:rPr>
          <w:rFonts w:ascii="Times New Roman" w:hAnsi="Times New Roman"/>
          <w:color w:val="09090B"/>
          <w:sz w:val="22"/>
        </w:rPr>
        <w:t xml:space="preserve">• </w:t>
      </w:r>
      <w:r>
        <w:rPr>
          <w:rFonts w:ascii="Times New Roman" w:hAnsi="Times New Roman"/>
          <w:color w:val="09090B"/>
          <w:sz w:val="22"/>
        </w:rPr>
        <w:t>Pipeline updates due before weekly forecast meetings (Friday COB)</w:t>
      </w:r>
    </w:p>
    <w:p>
      <w:pPr>
        <w:pStyle w:val="SOPHeading2"/>
      </w:pPr>
      <w:r>
        <w:rPr>
          <w:rFonts w:ascii="Times New Roman" w:hAnsi="Times New Roman"/>
          <w:b/>
          <w:color w:val="09090B"/>
          <w:sz w:val="22"/>
        </w:rPr>
        <w:t>6.2 Required Opportunity Fields</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Company name, industry, and employee count</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Primary contact: name, title, email, phone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Lead source (marketing campaign, referral, etc.)</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Estimated deal value: ACV and TCV if multi-year</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Expected close date (must be realistic)</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Current stage and associated probability</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Next step with specific action and date</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Competitors involved (if known)</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7. Lead Scoring Criteria</w:t>
      </w:r>
    </w:p>
    <w:p>
      <w:pPr>
        <w:pStyle w:val="SOPBody"/>
      </w:pPr>
      <w:r>
        <w:rPr>
          <w:rFonts w:ascii="Times New Roman" w:hAnsi="Times New Roman"/>
          <w:color w:val="09090B"/>
          <w:sz w:val="22"/>
        </w:rPr>
        <w:t>Score leads using the following criteria to prioritize sales outreach:</w:t>
      </w:r>
    </w:p>
    <w:p>
      <w:pPr>
        <w:pStyle w:val="SOPHeading2"/>
      </w:pPr>
      <w:r>
        <w:rPr>
          <w:rFonts w:ascii="Times New Roman" w:hAnsi="Times New Roman"/>
          <w:b/>
          <w:color w:val="09090B"/>
          <w:sz w:val="22"/>
        </w:rPr>
        <w:t>7.1 Demographic Score (0-50 points)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Criteria</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Points</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Scoring Guidelines</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Company Size</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0-15</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1-49 employees: 5 | 50-500: 10 | 500+: 15</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Industry Match</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0-15</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Secondary market: 5 | Primary target: 15</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Title/Role</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Influencer: 5 | Decision Maker: 10</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Geography</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Outside territory: 0 | In territory: 10</w:t>
            </w:r>
          </w:p>
        </w:tc>
      </w:tr>
    </w:tbl>
    <w:p/>
    <w:p>
      <w:pPr>
        <w:pStyle w:val="SOPHeading2"/>
      </w:pPr>
      <w:r>
        <w:rPr>
          <w:rFonts w:ascii="Times New Roman" w:hAnsi="Times New Roman"/>
          <w:b/>
          <w:color w:val="09090B"/>
          <w:sz w:val="22"/>
        </w:rPr>
        <w:t>7.2 Behavioral Score (0-50 points)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Criteria</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Points</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Scoring Guidelines</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Website Visits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1-3 pages: 3 | 4-10 pages: 7 | 10+ pages: 10</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Content Downloads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0-15</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Each gated asset downloaded: 5 points</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Email Engagement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0-10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Opens: 2 each | Clicks: 5 each</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Demo/Meeting Request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15</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Automatic 15 points if requested</w:t>
            </w:r>
          </w:p>
        </w:tc>
      </w:tr>
    </w:tbl>
    <w:p/>
    <w:p>
      <w:pPr>
        <w:pStyle w:val="SOPHeading2"/>
      </w:pPr>
      <w:r>
        <w:rPr>
          <w:rFonts w:ascii="Times New Roman" w:hAnsi="Times New Roman"/>
          <w:b/>
          <w:color w:val="09090B"/>
          <w:sz w:val="22"/>
        </w:rPr>
        <w:t>7.3 Score Thresholds and Response</w:t>
      </w:r>
    </w:p>
    <w:p>
      <w:pPr>
        <w:pStyle w:val="SOPBody"/>
        <w:ind w:left="360"/>
      </w:pPr>
      <w:r>
        <w:rPr>
          <w:rFonts w:ascii="Times New Roman" w:hAnsi="Times New Roman"/>
          <w:color w:val="09090B"/>
          <w:sz w:val="22"/>
        </w:rPr>
        <w:t xml:space="preserve">• </w:t>
      </w:r>
      <w:r>
        <w:rPr>
          <w:rFonts w:ascii="Times New Roman" w:hAnsi="Times New Roman"/>
          <w:color w:val="09090B"/>
          <w:sz w:val="22"/>
        </w:rPr>
        <w:t>0-30 points (Cold): Marketing nurture only, no sales outreach</w:t>
      </w:r>
    </w:p>
    <w:p>
      <w:pPr>
        <w:pStyle w:val="SOPBody"/>
        <w:ind w:left="360"/>
      </w:pPr>
      <w:r>
        <w:rPr>
          <w:rFonts w:ascii="Times New Roman" w:hAnsi="Times New Roman"/>
          <w:color w:val="09090B"/>
          <w:sz w:val="22"/>
        </w:rPr>
        <w:t xml:space="preserve">• </w:t>
      </w:r>
      <w:r>
        <w:rPr>
          <w:rFonts w:ascii="Times New Roman" w:hAnsi="Times New Roman"/>
          <w:color w:val="09090B"/>
          <w:sz w:val="22"/>
        </w:rPr>
        <w:t>31-60 points (Warm): SDR outreach within 48 hours</w:t>
      </w:r>
    </w:p>
    <w:p>
      <w:pPr>
        <w:pStyle w:val="SOPBody"/>
        <w:ind w:left="360"/>
      </w:pPr>
      <w:r>
        <w:rPr>
          <w:rFonts w:ascii="Times New Roman" w:hAnsi="Times New Roman"/>
          <w:color w:val="09090B"/>
          <w:sz w:val="22"/>
        </w:rPr>
        <w:t xml:space="preserve">• </w:t>
      </w:r>
      <w:r>
        <w:rPr>
          <w:rFonts w:ascii="Times New Roman" w:hAnsi="Times New Roman"/>
          <w:color w:val="09090B"/>
          <w:sz w:val="22"/>
        </w:rPr>
        <w:t>61-80 points (Hot): Priority SDR outreach within 24 hours</w:t>
      </w:r>
    </w:p>
    <w:p>
      <w:pPr>
        <w:pStyle w:val="SOPBody"/>
        <w:ind w:left="360"/>
      </w:pPr>
      <w:r>
        <w:rPr>
          <w:rFonts w:ascii="Times New Roman" w:hAnsi="Times New Roman"/>
          <w:color w:val="09090B"/>
          <w:sz w:val="22"/>
        </w:rPr>
        <w:t xml:space="preserve">• </w:t>
      </w:r>
      <w:r>
        <w:rPr>
          <w:rFonts w:ascii="Times New Roman" w:hAnsi="Times New Roman"/>
          <w:color w:val="09090B"/>
          <w:sz w:val="22"/>
        </w:rPr>
        <w:t>81+ points (Urgent): Immediate AE engagement required</w:t>
      </w:r>
    </w:p>
    <w:p>
      <w:pPr>
        <w:pStyle w:val="SOPHeading1"/>
      </w:pPr>
      <w:r>
        <w:rPr>
          <w:rFonts w:ascii="Times New Roman" w:hAnsi="Times New Roman"/>
          <w:b/>
          <w:color w:val="09090B"/>
          <w:sz w:val="22"/>
        </w:rPr>
        <w:t>8. Commission Structure Template</w:t>
      </w:r>
    </w:p>
    <w:p>
      <w:pPr>
        <w:pStyle w:val="SOPBody"/>
      </w:pPr>
      <w:r>
        <w:rPr>
          <w:rFonts w:ascii="Times New Roman" w:hAnsi="Times New Roman"/>
          <w:color w:val="09090B"/>
          <w:sz w:val="22"/>
        </w:rPr>
        <w:t>The following commission structure template applies to quota-carrying sales roles. Actual rates to be determined by Sales Leadership.</w:t>
      </w:r>
    </w:p>
    <w:p>
      <w:pPr>
        <w:pStyle w:val="SOPHeading2"/>
      </w:pPr>
      <w:r>
        <w:rPr>
          <w:rFonts w:ascii="Times New Roman" w:hAnsi="Times New Roman"/>
          <w:b/>
          <w:color w:val="09090B"/>
          <w:sz w:val="22"/>
        </w:rPr>
        <w:t>8.1 Base Commission Rates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Quota Attainment</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Commission Rate</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Accelerator</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0-50%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of ACV</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N/A</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51-100%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of ACV</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1.0x</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101-150%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of ACV</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[X]x accelerator</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&gt;150%</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of ACV</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[X]x accelerator</w:t>
            </w:r>
          </w:p>
        </w:tc>
      </w:tr>
    </w:tbl>
    <w:p/>
    <w:p>
      <w:pPr>
        <w:pStyle w:val="SOPHeading2"/>
      </w:pPr>
      <w:r>
        <w:rPr>
          <w:rFonts w:ascii="Times New Roman" w:hAnsi="Times New Roman"/>
          <w:b/>
          <w:color w:val="09090B"/>
          <w:sz w:val="22"/>
        </w:rPr>
        <w:t>8.2 Special Performance Incentives</w:t>
      </w:r>
    </w:p>
    <w:tbl>
      <w:tblPr>
        <w:tblW w:type="auto" w:w="0"/>
        <w:jc w:val="center"/>
        <w:tblLook w:firstColumn="1" w:firstRow="1" w:lastColumn="0" w:lastRow="0" w:noHBand="0" w:noVBand="1" w:val="04A0"/>
      </w:tblPr>
      <w:tblGrid>
        <w:gridCol w:w="3120"/>
        <w:gridCol w:w="3120"/>
        <w:gridCol w:w="3120"/>
      </w:tblGrid>
      <w:tr>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Incentive Type</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Criteria</w:t>
            </w:r>
          </w:p>
        </w:tc>
        <w:tc>
          <w:tcPr>
            <w:tcW w:type="dxa" w:w="3120"/>
            <w:tcBorders>
              <w:top w:val="single" w:sz="6" w:color="000000"/>
              <w:left w:val="single" w:sz="6" w:color="000000"/>
              <w:bottom w:val="single" w:sz="6" w:color="000000"/>
              <w:right w:val="single" w:sz="6" w:color="000000"/>
            </w:tcBorders>
          </w:tcPr>
          <w:p>
            <w:r>
              <w:rPr>
                <w:rFonts w:ascii="Times New Roman" w:hAnsi="Times New Roman"/>
                <w:b/>
                <w:color w:val="09090B"/>
                <w:sz w:val="22"/>
              </w:rPr>
              <w:t>Bonus Amount</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New Logo Bonus</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First deal with new customer</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$[Amount]</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Multi-Year Deal</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Contract term &gt;1 year</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of Year 2+ value</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Strategic Product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Includes target SKU/product</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70707B"/>
                <w:sz w:val="22"/>
              </w:rPr>
              <w:t>[X]% additional commission</w:t>
            </w:r>
          </w:p>
        </w:tc>
      </w:tr>
      <w:tr>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Quarterly Kicker</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Achieve 100% of quarterly quota</w:t>
            </w:r>
          </w:p>
        </w:tc>
        <w:tc>
          <w:tcPr>
            <w:tcW w:type="dxa" w:w="3120"/>
            <w:tcBorders>
              <w:top w:val="single" w:sz="6" w:color="000000"/>
              <w:left w:val="single" w:sz="6" w:color="000000"/>
              <w:bottom w:val="single" w:sz="6" w:color="000000"/>
              <w:right w:val="single" w:sz="6" w:color="000000"/>
            </w:tcBorders>
          </w:tcPr>
          <w:p>
            <w:r>
              <w:rPr>
                <w:rFonts w:ascii="Times New Roman" w:hAnsi="Times New Roman"/>
                <w:color w:val="09090B"/>
                <w:sz w:val="22"/>
              </w:rPr>
              <w:t>$[Amount]</w:t>
            </w:r>
          </w:p>
        </w:tc>
      </w:tr>
    </w:tbl>
    <w:p/>
    <w:p>
      <w:pPr>
        <w:pStyle w:val="SOPHeading1"/>
      </w:pPr>
      <w:r>
        <w:rPr>
          <w:rFonts w:ascii="Times New Roman" w:hAnsi="Times New Roman"/>
          <w:b/>
          <w:color w:val="09090B"/>
          <w:sz w:val="22"/>
        </w:rPr>
        <w:t>9. Pipeline Review Checklist</w:t>
      </w:r>
    </w:p>
    <w:p>
      <w:pPr>
        <w:pStyle w:val="SOPBody"/>
      </w:pPr>
      <w:r>
        <w:rPr>
          <w:rFonts w:ascii="Times New Roman" w:hAnsi="Times New Roman"/>
          <w:color w:val="09090B"/>
          <w:sz w:val="22"/>
        </w:rPr>
        <w:t>Complete the following checklist before weekly pipeline/forecast meetings:</w:t>
      </w:r>
    </w:p>
    <w:tbl>
      <w:tblPr>
        <w:tblW w:type="auto" w:w="0"/>
        <w:jc w:val="center"/>
        <w:tblLook w:firstColumn="1" w:firstRow="1" w:lastColumn="0" w:lastRow="0" w:noHBand="0" w:noVBand="1" w:val="04A0"/>
      </w:tblPr>
      <w:tblGrid>
        <w:gridCol w:w="3120"/>
        <w:gridCol w:w="3120"/>
        <w:gridCol w:w="3120"/>
      </w:tblGrid>
      <w:tr>
        <w:tc>
          <w:tcPr>
            <w:tcW w:type="dxa" w:w="5040"/>
            <w:tcBorders>
              <w:top w:val="single" w:sz="6" w:color="000000"/>
              <w:left w:val="single" w:sz="6" w:color="000000"/>
              <w:bottom w:val="single" w:sz="6" w:color="000000"/>
              <w:right w:val="single" w:sz="6" w:color="000000"/>
            </w:tcBorders>
          </w:tcPr>
          <w:p>
            <w:r>
              <w:rPr>
                <w:rFonts w:ascii="Times New Roman" w:hAnsi="Times New Roman"/>
                <w:b/>
                <w:color w:val="09090B"/>
                <w:sz w:val="22"/>
              </w:rPr>
              <w:t>Item</w:t>
            </w:r>
          </w:p>
        </w:tc>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Completed</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Notes</w:t>
            </w: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All opportunities have activity logged within last 7 days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Close dates reflect realistic, buyer-confirmed timelines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Deal values based on confirmed scope and requirements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Next steps documented with specific actions and dates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Stalled opportunities identified (no activity &gt;14 days)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Commit vs. upside deals clearly categorized</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Closed Lost opportunities have documented loss reasons</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r>
        <w:tc>
          <w:tcPr>
            <w:tcW w:type="dxa" w:w="5040"/>
            <w:tcBorders>
              <w:top w:val="single" w:sz="6" w:color="000000"/>
              <w:left w:val="single" w:sz="6" w:color="000000"/>
              <w:bottom w:val="single" w:sz="6" w:color="000000"/>
              <w:right w:val="single" w:sz="6" w:color="000000"/>
            </w:tcBorders>
          </w:tcPr>
          <w:p>
            <w:r>
              <w:rPr>
                <w:rFonts w:ascii="Times New Roman" w:hAnsi="Times New Roman"/>
                <w:color w:val="09090B"/>
                <w:sz w:val="22"/>
              </w:rPr>
              <w:t>Pipeline coverage at minimum 3x quota (by stage weighting)</w:t>
            </w:r>
          </w:p>
        </w:tc>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w:t>
            </w:r>
          </w:p>
        </w:tc>
        <w:tc>
          <w:tcPr>
            <w:tcW w:type="dxa" w:w="2880"/>
            <w:tcBorders>
              <w:top w:val="single" w:sz="6" w:color="000000"/>
              <w:left w:val="single" w:sz="6" w:color="000000"/>
              <w:bottom w:val="single" w:sz="6" w:color="000000"/>
              <w:right w:val="single" w:sz="6" w:color="000000"/>
            </w:tcBorders>
          </w:tcPr>
          <w:p/>
        </w:tc>
      </w:tr>
    </w:tbl>
    <w:p/>
    <w:p>
      <w:pPr>
        <w:pStyle w:val="SOPHeading2"/>
      </w:pPr>
      <w:r>
        <w:rPr>
          <w:rFonts w:ascii="Times New Roman" w:hAnsi="Times New Roman"/>
          <w:b/>
          <w:color w:val="09090B"/>
          <w:sz w:val="22"/>
        </w:rPr>
        <w:t>9.1 Pipeline Health Metrics</w:t>
      </w:r>
    </w:p>
    <w:tbl>
      <w:tblPr>
        <w:tblW w:type="auto" w:w="0"/>
        <w:jc w:val="center"/>
        <w:tblLook w:firstColumn="1" w:firstRow="1" w:lastColumn="0" w:lastRow="0" w:noHBand="0" w:noVBand="1" w:val="04A0"/>
      </w:tblPr>
      <w:tblGrid>
        <w:gridCol w:w="2340"/>
        <w:gridCol w:w="2340"/>
        <w:gridCol w:w="2340"/>
        <w:gridCol w:w="2340"/>
      </w:tblGrid>
      <w:tr>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Metric</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Target</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Current</w:t>
            </w:r>
          </w:p>
        </w:tc>
        <w:tc>
          <w:tcPr>
            <w:tcW w:type="dxa" w:w="2340"/>
            <w:tcBorders>
              <w:top w:val="single" w:sz="6" w:color="000000"/>
              <w:left w:val="single" w:sz="6" w:color="000000"/>
              <w:bottom w:val="single" w:sz="6" w:color="000000"/>
              <w:right w:val="single" w:sz="6" w:color="000000"/>
            </w:tcBorders>
          </w:tcPr>
          <w:p>
            <w:r>
              <w:rPr>
                <w:rFonts w:ascii="Times New Roman" w:hAnsi="Times New Roman"/>
                <w:b/>
                <w:color w:val="09090B"/>
                <w:sz w:val="22"/>
              </w:rPr>
              <w:t>Variance</w:t>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Pipeline Coverage (weighted)</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3x quota</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Average Deal Size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$[Target]</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Win Rate</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[X]%</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Average Sales Cycle (days)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70707B"/>
                <w:sz w:val="22"/>
              </w:rPr>
              <w:t>[X] days</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r>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Forecast Accuracy</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t>&gt;85%</w:t>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c>
          <w:tcPr>
            <w:tcW w:type="dxa" w:w="2340"/>
            <w:tcBorders>
              <w:top w:val="single" w:sz="6" w:color="000000"/>
              <w:left w:val="single" w:sz="6" w:color="000000"/>
              <w:bottom w:val="single" w:sz="6" w:color="000000"/>
              <w:right w:val="single" w:sz="6" w:color="000000"/>
            </w:tcBorders>
          </w:tcPr>
          <w:p>
            <w:r>
              <w:rPr>
                <w:rFonts w:ascii="Times New Roman" w:hAnsi="Times New Roman"/>
                <w:color w:val="09090B"/>
                <w:sz w:val="22"/>
              </w:rPr>
            </w:r>
          </w:p>
        </w:tc>
      </w:tr>
    </w:tbl>
    <w:p/>
    <w:p>
      <w:pPr>
        <w:pStyle w:val="SOPHeading1"/>
      </w:pPr>
      <w:r>
        <w:rPr>
          <w:rFonts w:ascii="Times New Roman" w:hAnsi="Times New Roman"/>
          <w:b/>
          <w:color w:val="09090B"/>
          <w:sz w:val="22"/>
        </w:rPr>
        <w:t>10. Emergency and Exception Procedures</w:t>
      </w:r>
    </w:p>
    <w:p>
      <w:pPr>
        <w:pStyle w:val="SOPHeading2"/>
      </w:pPr>
      <w:r>
        <w:rPr>
          <w:rFonts w:ascii="Times New Roman" w:hAnsi="Times New Roman"/>
          <w:b/>
          <w:color w:val="09090B"/>
          <w:sz w:val="22"/>
        </w:rPr>
        <w:t>10.1 Emergency Response</w:t>
      </w:r>
    </w:p>
    <w:p>
      <w:pPr>
        <w:pStyle w:val="SOPBody"/>
      </w:pPr>
      <w:r>
        <w:rPr>
          <w:rFonts w:ascii="Times New Roman" w:hAnsi="Times New Roman"/>
          <w:color w:val="09090B"/>
          <w:sz w:val="22"/>
        </w:rPr>
        <w:t>In case of emergency, follow the procedures below. Safety of personnel takes priority over all other considerations.</w:t>
      </w:r>
    </w:p>
    <w:p>
      <w:pPr>
        <w:pStyle w:val="SOPBody"/>
        <w:ind w:left="360"/>
      </w:pPr>
      <w:r>
        <w:rPr>
          <w:rFonts w:ascii="Times New Roman" w:hAnsi="Times New Roman"/>
          <w:b/>
          <w:color w:val="09090B"/>
          <w:sz w:val="22"/>
        </w:rPr>
        <w:t xml:space="preserve">1. </w:t>
      </w:r>
      <w:r>
        <w:rPr>
          <w:rFonts w:ascii="Times New Roman" w:hAnsi="Times New Roman"/>
          <w:color w:val="09090B"/>
          <w:sz w:val="22"/>
        </w:rPr>
        <w:t>Ensure immediate safety of all personnel in the area</w:t>
      </w:r>
    </w:p>
    <w:p>
      <w:pPr>
        <w:pStyle w:val="SOPBody"/>
        <w:ind w:left="360"/>
      </w:pPr>
      <w:r>
        <w:rPr>
          <w:rFonts w:ascii="Times New Roman" w:hAnsi="Times New Roman"/>
          <w:b/>
          <w:color w:val="09090B"/>
          <w:sz w:val="22"/>
        </w:rPr>
        <w:t xml:space="preserve">2. </w:t>
      </w:r>
      <w:r>
        <w:rPr>
          <w:rFonts w:ascii="Times New Roman" w:hAnsi="Times New Roman"/>
          <w:color w:val="09090B"/>
          <w:sz w:val="22"/>
        </w:rPr>
        <w:t>Contact emergency services if required (911 or local emergency number)</w:t>
      </w:r>
    </w:p>
    <w:p>
      <w:pPr>
        <w:pStyle w:val="SOPBody"/>
        <w:ind w:left="360"/>
      </w:pPr>
      <w:r>
        <w:rPr>
          <w:rFonts w:ascii="Times New Roman" w:hAnsi="Times New Roman"/>
          <w:b/>
          <w:color w:val="09090B"/>
          <w:sz w:val="22"/>
        </w:rPr>
        <w:t xml:space="preserve">3. </w:t>
      </w:r>
      <w:r>
        <w:rPr>
          <w:rFonts w:ascii="Times New Roman" w:hAnsi="Times New Roman"/>
          <w:color w:val="09090B"/>
          <w:sz w:val="22"/>
        </w:rPr>
        <w:t>Notify supervisor/manager immediately</w:t>
      </w:r>
    </w:p>
    <w:p>
      <w:pPr>
        <w:pStyle w:val="SOPBody"/>
        <w:ind w:left="360"/>
      </w:pPr>
      <w:r>
        <w:rPr>
          <w:rFonts w:ascii="Times New Roman" w:hAnsi="Times New Roman"/>
          <w:b/>
          <w:color w:val="09090B"/>
          <w:sz w:val="22"/>
        </w:rPr>
        <w:t xml:space="preserve">4. </w:t>
      </w:r>
      <w:r>
        <w:rPr>
          <w:rFonts w:ascii="Times New Roman" w:hAnsi="Times New Roman"/>
          <w:color w:val="09090B"/>
          <w:sz w:val="22"/>
        </w:rPr>
        <w:t>Follow facility emergency evacuation procedures if applicable</w:t>
      </w:r>
    </w:p>
    <w:p>
      <w:pPr>
        <w:pStyle w:val="SOPBody"/>
        <w:ind w:left="360"/>
      </w:pPr>
      <w:r>
        <w:rPr>
          <w:rFonts w:ascii="Times New Roman" w:hAnsi="Times New Roman"/>
          <w:b/>
          <w:color w:val="09090B"/>
          <w:sz w:val="22"/>
        </w:rPr>
        <w:t xml:space="preserve">5. </w:t>
      </w:r>
      <w:r>
        <w:rPr>
          <w:rFonts w:ascii="Times New Roman" w:hAnsi="Times New Roman"/>
          <w:color w:val="09090B"/>
          <w:sz w:val="22"/>
        </w:rPr>
        <w:t>Document the incident using the Incident Report form</w:t>
      </w:r>
    </w:p>
    <w:p>
      <w:pPr>
        <w:pStyle w:val="SOPHeading2"/>
      </w:pPr>
      <w:r>
        <w:rPr>
          <w:rFonts w:ascii="Times New Roman" w:hAnsi="Times New Roman"/>
          <w:b/>
          <w:color w:val="09090B"/>
          <w:sz w:val="22"/>
        </w:rPr>
        <w:t>10.2 Exception Handling</w:t>
      </w:r>
    </w:p>
    <w:p>
      <w:pPr>
        <w:pStyle w:val="SOPBody"/>
      </w:pPr>
      <w:r>
        <w:rPr>
          <w:rFonts w:ascii="Times New Roman" w:hAnsi="Times New Roman"/>
          <w:color w:val="09090B"/>
          <w:sz w:val="22"/>
        </w:rPr>
        <w:t>When standard procedures cannot be followed due to unusual circumstances:</w:t>
      </w:r>
    </w:p>
    <w:p>
      <w:pPr>
        <w:pStyle w:val="SOPBody"/>
        <w:ind w:left="360"/>
      </w:pPr>
      <w:r>
        <w:rPr>
          <w:rFonts w:ascii="Times New Roman" w:hAnsi="Times New Roman"/>
          <w:b/>
          <w:color w:val="09090B"/>
          <w:sz w:val="22"/>
        </w:rPr>
        <w:t xml:space="preserve">1. </w:t>
      </w:r>
      <w:r>
        <w:rPr>
          <w:rFonts w:ascii="Times New Roman" w:hAnsi="Times New Roman"/>
          <w:color w:val="09090B"/>
          <w:sz w:val="22"/>
        </w:rPr>
        <w:t>Assess the situation and identify the specific deviation required</w:t>
      </w:r>
    </w:p>
    <w:p>
      <w:pPr>
        <w:pStyle w:val="SOPBody"/>
        <w:ind w:left="360"/>
      </w:pPr>
      <w:r>
        <w:rPr>
          <w:rFonts w:ascii="Times New Roman" w:hAnsi="Times New Roman"/>
          <w:b/>
          <w:color w:val="09090B"/>
          <w:sz w:val="22"/>
        </w:rPr>
        <w:t xml:space="preserve">2. </w:t>
      </w:r>
      <w:r>
        <w:rPr>
          <w:rFonts w:ascii="Times New Roman" w:hAnsi="Times New Roman"/>
          <w:color w:val="09090B"/>
          <w:sz w:val="22"/>
        </w:rPr>
        <w:t>Obtain verbal approval from [Supervisor/Manager] before proceeding</w:t>
      </w:r>
    </w:p>
    <w:p>
      <w:pPr>
        <w:pStyle w:val="SOPBody"/>
        <w:ind w:left="360"/>
      </w:pPr>
      <w:r>
        <w:rPr>
          <w:rFonts w:ascii="Times New Roman" w:hAnsi="Times New Roman"/>
          <w:b/>
          <w:color w:val="09090B"/>
          <w:sz w:val="22"/>
        </w:rPr>
        <w:t xml:space="preserve">3. </w:t>
      </w:r>
      <w:r>
        <w:rPr>
          <w:rFonts w:ascii="Times New Roman" w:hAnsi="Times New Roman"/>
          <w:color w:val="09090B"/>
          <w:sz w:val="22"/>
        </w:rPr>
        <w:t>Document the exception, including justification and approver</w:t>
      </w:r>
    </w:p>
    <w:p>
      <w:pPr>
        <w:pStyle w:val="SOPBody"/>
        <w:ind w:left="360"/>
      </w:pPr>
      <w:r>
        <w:rPr>
          <w:rFonts w:ascii="Times New Roman" w:hAnsi="Times New Roman"/>
          <w:b/>
          <w:color w:val="09090B"/>
          <w:sz w:val="22"/>
        </w:rPr>
        <w:t xml:space="preserve">4. </w:t>
      </w:r>
      <w:r>
        <w:rPr>
          <w:rFonts w:ascii="Times New Roman" w:hAnsi="Times New Roman"/>
          <w:color w:val="09090B"/>
          <w:sz w:val="22"/>
        </w:rPr>
        <w:t>Complete the Exception Request Form within 24 hours</w:t>
      </w:r>
    </w:p>
    <w:p>
      <w:pPr>
        <w:pStyle w:val="SOPBody"/>
        <w:ind w:left="360"/>
      </w:pPr>
      <w:r>
        <w:rPr>
          <w:rFonts w:ascii="Times New Roman" w:hAnsi="Times New Roman"/>
          <w:b/>
          <w:color w:val="09090B"/>
          <w:sz w:val="22"/>
        </w:rPr>
        <w:t xml:space="preserve">5. </w:t>
      </w:r>
      <w:r>
        <w:rPr>
          <w:rFonts w:ascii="Times New Roman" w:hAnsi="Times New Roman"/>
          <w:color w:val="09090B"/>
          <w:sz w:val="22"/>
        </w:rPr>
        <w:t>Submit for formal review during the next scheduled procedure review</w:t>
      </w:r>
    </w:p>
    <w:p>
      <w:pPr>
        <w:pStyle w:val="SOPBody"/>
      </w:pPr>
      <w:r>
        <w:rPr>
          <w:rFonts w:ascii="Times New Roman" w:hAnsi="Times New Roman"/>
          <w:b/>
          <w:color w:val="E7000A"/>
          <w:sz w:val="22"/>
        </w:rPr>
        <w:t>WARNING: Exceptions should only be made when necessary and must be properly documented. Repeated exceptions may indicate the need for procedure revision.</w:t>
      </w:r>
    </w:p>
    <w:p>
      <w:pPr>
        <w:pStyle w:val="SOPHeading1"/>
      </w:pPr>
      <w:r>
        <w:rPr>
          <w:rFonts w:ascii="Times New Roman" w:hAnsi="Times New Roman"/>
          <w:b/>
          <w:color w:val="09090B"/>
          <w:sz w:val="22"/>
        </w:rPr>
        <w:t>11. Related Information</w:t>
      </w:r>
    </w:p>
    <w:p>
      <w:pPr>
        <w:pStyle w:val="SOPBody"/>
      </w:pPr>
      <w:r>
        <w:rPr>
          <w:rFonts w:ascii="Times New Roman" w:hAnsi="Times New Roman"/>
          <w:color w:val="09090B"/>
          <w:sz w:val="22"/>
        </w:rPr>
        <w:t>The following documents and references relate to this procedure:</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Category</w:t>
            </w:r>
          </w:p>
        </w:tc>
        <w:tc>
          <w:tcPr>
            <w:tcW w:type="dxa" w:w="6480"/>
            <w:tcBorders>
              <w:top w:val="single" w:sz="6" w:color="000000"/>
              <w:left w:val="single" w:sz="6" w:color="000000"/>
              <w:bottom w:val="single" w:sz="6" w:color="000000"/>
              <w:right w:val="single" w:sz="6" w:color="000000"/>
            </w:tcBorders>
          </w:tcPr>
          <w:p>
            <w:r>
              <w:rPr>
                <w:rFonts w:ascii="Times New Roman" w:hAnsi="Times New Roman"/>
                <w:b/>
                <w:color w:val="09090B"/>
                <w:sz w:val="22"/>
              </w:rPr>
              <w:t>Reference</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Policies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Sales Compensation Policy, Discount Approval Policy, Travel and Expense Policy</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SOPs/Procedures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SOP-SALES-002 Quote to Cash, SOP-SALES-003 Discount Approval, SOP-SALES-004 Territory Management</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Related Forms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Opportunity Qualification Form, Deal Desk Request Form, Commission Dispute Form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External References</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CRM User Guide, Sales Playbook, Competitive Battle Cards</w:t>
            </w:r>
          </w:p>
        </w:tc>
      </w:tr>
    </w:tbl>
    <w:p/>
    <w:p>
      <w:pPr>
        <w:pStyle w:val="SOPHeading1"/>
      </w:pPr>
      <w:r>
        <w:rPr>
          <w:rFonts w:ascii="Times New Roman" w:hAnsi="Times New Roman"/>
          <w:b/>
          <w:color w:val="09090B"/>
          <w:sz w:val="22"/>
        </w:rPr>
        <w:t>12. Document Control</w:t>
      </w:r>
    </w:p>
    <w:tbl>
      <w:tblPr>
        <w:tblW w:type="auto" w:w="0"/>
        <w:jc w:val="center"/>
        <w:tblLook w:firstColumn="1" w:firstRow="1" w:lastColumn="0" w:lastRow="0" w:noHBand="0" w:noVBand="1" w:val="04A0"/>
      </w:tblPr>
      <w:tblGrid>
        <w:gridCol w:w="4680"/>
        <w:gridCol w:w="4680"/>
      </w:tblGrid>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SOP Owner</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[Sales Operations Manager / VP Sales]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Approved By</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[Chief Revenue Officer / VP Sales]</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Email</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[salesops@company.com]</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Contact Phone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[(XXX) XXX-XXXX]</w:t>
            </w:r>
          </w:p>
        </w:tc>
      </w:tr>
      <w:tr>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Review Schedule</w:t>
            </w:r>
          </w:p>
        </w:tc>
        <w:tc>
          <w:tcPr>
            <w:tcW w:type="dxa" w:w="6480"/>
            <w:tcBorders>
              <w:top w:val="single" w:sz="6" w:color="000000"/>
              <w:left w:val="single" w:sz="6" w:color="000000"/>
              <w:bottom w:val="single" w:sz="6" w:color="000000"/>
              <w:right w:val="single" w:sz="6" w:color="000000"/>
            </w:tcBorders>
          </w:tcPr>
          <w:p>
            <w:r>
              <w:rPr>
                <w:rFonts w:ascii="Times New Roman" w:hAnsi="Times New Roman"/>
                <w:color w:val="09090B"/>
                <w:sz w:val="22"/>
              </w:rPr>
              <w:t>Quarterly or upon changes to sales methodology, compensation, or go-to-market strategy</w:t>
            </w:r>
          </w:p>
        </w:tc>
      </w:tr>
    </w:tbl>
    <w:p/>
    <w:p>
      <w:pPr>
        <w:pStyle w:val="SOPHeading1"/>
      </w:pPr>
      <w:r>
        <w:rPr>
          <w:rFonts w:ascii="Times New Roman" w:hAnsi="Times New Roman"/>
          <w:b/>
          <w:color w:val="09090B"/>
          <w:sz w:val="22"/>
        </w:rPr>
        <w:t>13. Revision History</w:t>
      </w:r>
    </w:p>
    <w:p>
      <w:pPr>
        <w:pStyle w:val="SOPBody"/>
      </w:pPr>
      <w:r>
        <w:rPr>
          <w:rFonts w:ascii="Times New Roman" w:hAnsi="Times New Roman"/>
          <w:color w:val="09090B"/>
          <w:sz w:val="22"/>
        </w:rPr>
        <w:t>Document all revisions to maintain a complete audit trail:</w:t>
      </w:r>
    </w:p>
    <w:tbl>
      <w:tblPr>
        <w:tblW w:type="auto" w:w="0"/>
        <w:jc w:val="center"/>
        <w:tblLook w:firstColumn="1" w:firstRow="1" w:lastColumn="0" w:lastRow="0" w:noHBand="0" w:noVBand="1" w:val="04A0"/>
      </w:tblPr>
      <w:tblGrid>
        <w:gridCol w:w="3120"/>
        <w:gridCol w:w="3120"/>
        <w:gridCol w:w="3120"/>
      </w:tblGrid>
      <w:tr>
        <w:tc>
          <w:tcPr>
            <w:tcW w:type="dxa" w:w="1440"/>
            <w:tcBorders>
              <w:top w:val="single" w:sz="6" w:color="000000"/>
              <w:left w:val="single" w:sz="6" w:color="000000"/>
              <w:bottom w:val="single" w:sz="6" w:color="000000"/>
              <w:right w:val="single" w:sz="6" w:color="000000"/>
            </w:tcBorders>
          </w:tcPr>
          <w:p>
            <w:r>
              <w:rPr>
                <w:rFonts w:ascii="Times New Roman" w:hAnsi="Times New Roman"/>
                <w:b/>
                <w:color w:val="09090B"/>
                <w:sz w:val="22"/>
              </w:rPr>
              <w:t>Version</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c>
          <w:tcPr>
            <w:tcW w:type="dxa" w:w="5760"/>
            <w:tcBorders>
              <w:top w:val="single" w:sz="6" w:color="000000"/>
              <w:left w:val="single" w:sz="6" w:color="000000"/>
              <w:bottom w:val="single" w:sz="6" w:color="000000"/>
              <w:right w:val="single" w:sz="6" w:color="000000"/>
            </w:tcBorders>
          </w:tcPr>
          <w:p>
            <w:r>
              <w:rPr>
                <w:rFonts w:ascii="Times New Roman" w:hAnsi="Times New Roman"/>
                <w:b/>
                <w:color w:val="09090B"/>
                <w:sz w:val="22"/>
              </w:rPr>
              <w:t>Changes</w:t>
            </w:r>
          </w:p>
        </w:tc>
      </w:tr>
      <w:tr>
        <w:tc>
          <w:tcPr>
            <w:tcW w:type="dxa" w:w="1440"/>
            <w:tcBorders>
              <w:top w:val="single" w:sz="6" w:color="000000"/>
              <w:left w:val="single" w:sz="6" w:color="000000"/>
              <w:bottom w:val="single" w:sz="6" w:color="000000"/>
              <w:right w:val="single" w:sz="6" w:color="000000"/>
            </w:tcBorders>
          </w:tcPr>
          <w:p>
            <w:r>
              <w:rPr>
                <w:rFonts w:ascii="Times New Roman" w:hAnsi="Times New Roman"/>
                <w:color w:val="09090B"/>
                <w:sz w:val="22"/>
              </w:rPr>
              <w:t>1.0</w:t>
            </w: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70707B"/>
                <w:sz w:val="22"/>
              </w:rPr>
              <w:t>[MM/DD/YYYY]</w:t>
            </w:r>
          </w:p>
        </w:tc>
        <w:tc>
          <w:tcPr>
            <w:tcW w:type="dxa" w:w="5760"/>
            <w:tcBorders>
              <w:top w:val="single" w:sz="6" w:color="000000"/>
              <w:left w:val="single" w:sz="6" w:color="000000"/>
              <w:bottom w:val="single" w:sz="6" w:color="000000"/>
              <w:right w:val="single" w:sz="6" w:color="000000"/>
            </w:tcBorders>
          </w:tcPr>
          <w:p>
            <w:r>
              <w:rPr>
                <w:rFonts w:ascii="Times New Roman" w:hAnsi="Times New Roman"/>
                <w:color w:val="09090B"/>
                <w:sz w:val="22"/>
              </w:rPr>
              <w:t>Initial release</w:t>
            </w: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r>
        <w:tc>
          <w:tcPr>
            <w:tcW w:type="dxa" w:w="144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c>
          <w:tcPr>
            <w:tcW w:type="dxa" w:w="57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14. Authorization and Approval</w:t>
      </w:r>
    </w:p>
    <w:tbl>
      <w:tblPr>
        <w:tblW w:type="auto" w:w="0"/>
        <w:jc w:val="center"/>
        <w:tblLook w:firstColumn="1" w:firstRow="1" w:lastColumn="0" w:lastRow="0" w:noHBand="0" w:noVBand="1" w:val="04A0"/>
      </w:tblPr>
      <w:tblGrid>
        <w:gridCol w:w="2340"/>
        <w:gridCol w:w="2340"/>
        <w:gridCol w:w="2340"/>
        <w:gridCol w:w="2340"/>
      </w:tblGrid>
      <w:tr>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Name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Role</w:t>
            </w:r>
          </w:p>
        </w:tc>
        <w:tc>
          <w:tcPr>
            <w:tcW w:type="dxa" w:w="288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Prepared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Reviewed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216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r>
              <w:rPr>
                <w:rFonts w:ascii="Times New Roman" w:hAnsi="Times New Roman"/>
                <w:color w:val="09090B"/>
                <w:sz w:val="22"/>
              </w:rPr>
              <w:t>Approved By</w:t>
            </w:r>
          </w:p>
        </w:tc>
        <w:tc>
          <w:tcPr>
            <w:tcW w:type="dxa" w:w="288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Heading1"/>
      </w:pPr>
      <w:r>
        <w:rPr>
          <w:rFonts w:ascii="Times New Roman" w:hAnsi="Times New Roman"/>
          <w:b/>
          <w:color w:val="09090B"/>
          <w:sz w:val="22"/>
        </w:rPr>
        <w:t>15. Documentation of Training</w:t>
      </w:r>
    </w:p>
    <w:p>
      <w:pPr>
        <w:pStyle w:val="SOPBody"/>
      </w:pPr>
      <w:r>
        <w:rPr>
          <w:rFonts w:ascii="Times New Roman" w:hAnsi="Times New Roman"/>
          <w:color w:val="09090B"/>
          <w:sz w:val="22"/>
        </w:rPr>
        <w:t>I have read and understand the content of this Standard Operating Procedure. I have received training specific to the procedures, hazards, and emergency protocols described herein.</w:t>
      </w:r>
    </w:p>
    <w:p>
      <w:pPr>
        <w:pStyle w:val="SOPBody"/>
      </w:pPr>
      <w:r>
        <w:rPr>
          <w:rFonts w:ascii="Times New Roman" w:hAnsi="Times New Roman"/>
          <w:i/>
          <w:color w:val="70707B"/>
          <w:sz w:val="22"/>
        </w:rPr>
        <w:t>Note: All personnel who will perform tasks covered by this SOP must sign below prior to conducting any work. Additional signature pages may be attached as needed.</w:t>
      </w:r>
    </w:p>
    <w:tbl>
      <w:tblPr>
        <w:tblW w:type="auto" w:w="0"/>
        <w:jc w:val="center"/>
        <w:tblLook w:firstColumn="1" w:firstRow="1" w:lastColumn="0" w:lastRow="0" w:noHBand="0" w:noVBand="1" w:val="04A0"/>
      </w:tblPr>
      <w:tblGrid>
        <w:gridCol w:w="3120"/>
        <w:gridCol w:w="3120"/>
        <w:gridCol w:w="3120"/>
      </w:tblGrid>
      <w:tr>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Printed Name</w:t>
            </w:r>
          </w:p>
        </w:tc>
        <w:tc>
          <w:tcPr>
            <w:tcW w:type="dxa" w:w="3600"/>
            <w:tcBorders>
              <w:top w:val="single" w:sz="6" w:color="000000"/>
              <w:left w:val="single" w:sz="6" w:color="000000"/>
              <w:bottom w:val="single" w:sz="6" w:color="000000"/>
              <w:right w:val="single" w:sz="6" w:color="000000"/>
            </w:tcBorders>
          </w:tcPr>
          <w:p>
            <w:r>
              <w:rPr>
                <w:rFonts w:ascii="Times New Roman" w:hAnsi="Times New Roman"/>
                <w:b/>
                <w:color w:val="09090B"/>
                <w:sz w:val="22"/>
              </w:rPr>
              <w:t>Signature</w:t>
            </w:r>
          </w:p>
        </w:tc>
        <w:tc>
          <w:tcPr>
            <w:tcW w:type="dxa" w:w="2160"/>
            <w:tcBorders>
              <w:top w:val="single" w:sz="6" w:color="000000"/>
              <w:left w:val="single" w:sz="6" w:color="000000"/>
              <w:bottom w:val="single" w:sz="6" w:color="000000"/>
              <w:right w:val="single" w:sz="6" w:color="000000"/>
            </w:tcBorders>
          </w:tcPr>
          <w:p>
            <w:r>
              <w:rPr>
                <w:rFonts w:ascii="Times New Roman" w:hAnsi="Times New Roman"/>
                <w:b/>
                <w:color w:val="09090B"/>
                <w:sz w:val="22"/>
              </w:rPr>
              <w:t>Date</w:t>
            </w:r>
          </w:p>
        </w:tc>
      </w:tr>
      <w:tr>
        <w:tc>
          <w:tcPr>
            <w:tcW w:type="dxa" w:w="3600"/>
            <w:tcBorders>
              <w:top w:val="single" w:sz="6" w:color="000000"/>
              <w:left w:val="single" w:sz="6" w:color="000000"/>
              <w:bottom w:val="single" w:sz="6" w:color="000000"/>
              <w:right w:val="single" w:sz="6" w:color="000000"/>
            </w:tcBorders>
          </w:tcPr>
          <w:p>
            <w:r>
              <w:rPr>
                <w:rFonts w:ascii="Times New Roman" w:hAnsi="Times New Roman"/>
                <w:color w:val="70707B"/>
                <w:sz w:val="22"/>
              </w:rPr>
              <w:t>[Manager/Supervisor]</w:t>
            </w: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r>
        <w:tc>
          <w:tcPr>
            <w:tcW w:type="dxa" w:w="3600"/>
            <w:tcBorders>
              <w:top w:val="single" w:sz="6" w:color="000000"/>
              <w:left w:val="single" w:sz="6" w:color="000000"/>
              <w:bottom w:val="single" w:sz="6" w:color="000000"/>
              <w:right w:val="single" w:sz="6" w:color="000000"/>
            </w:tcBorders>
          </w:tcPr>
          <w:p/>
        </w:tc>
        <w:tc>
          <w:tcPr>
            <w:tcW w:type="dxa" w:w="3600"/>
            <w:tcBorders>
              <w:top w:val="single" w:sz="6" w:color="000000"/>
              <w:left w:val="single" w:sz="6" w:color="000000"/>
              <w:bottom w:val="single" w:sz="6" w:color="000000"/>
              <w:right w:val="single" w:sz="6" w:color="000000"/>
            </w:tcBorders>
          </w:tcPr>
          <w:p/>
        </w:tc>
        <w:tc>
          <w:tcPr>
            <w:tcW w:type="dxa" w:w="2160"/>
            <w:tcBorders>
              <w:top w:val="single" w:sz="6" w:color="000000"/>
              <w:left w:val="single" w:sz="6" w:color="000000"/>
              <w:bottom w:val="single" w:sz="6" w:color="000000"/>
              <w:right w:val="single" w:sz="6" w:color="000000"/>
            </w:tcBorders>
          </w:tcPr>
          <w:p/>
        </w:tc>
      </w:tr>
    </w:tbl>
    <w:p/>
    <w:p>
      <w:pPr>
        <w:pStyle w:val="SOPDisclaimerTitle"/>
      </w:pPr>
      <w:r>
        <w:rPr>
          <w:rFonts w:ascii="Times New Roman" w:hAnsi="Times New Roman"/>
          <w:b/>
          <w:color w:val="70707B"/>
          <w:sz w:val="20"/>
        </w:rPr>
        <w:t>DISCLAIMER</w:t>
      </w:r>
    </w:p>
    <w:p>
      <w:pPr>
        <w:pStyle w:val="SOPDisclaimer"/>
      </w:pPr>
      <w:r>
        <w:rPr>
          <w:rFonts w:ascii="Times New Roman" w:hAnsi="Times New Roman"/>
          <w:i/>
          <w:color w:val="70707B"/>
          <w:sz w:val="18"/>
        </w:rPr>
        <w:t>This Standard Operating Procedure template is provided by LawAgreements.com for general informational and organizational purposes only. It does not constitute legal, professional, or compliance advice.</w:t>
        <w:br/>
        <w:br/>
        <w:t>Organizations should customize this template to reflect their specific operational requirements, industry regulations, and applicable laws. LawAgreements.com recommends consulting with qualified legal, safety, or industry professionals before implementing any procedures in regulated environments.</w:t>
        <w:br/>
        <w:br/>
        <w:t>By using this template, you acknowledge that LawAgreements.com is not liable for any outcomes resulting from its use or modification.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bottom w:val="single" w:sz="24" w:color="004884" w:space="1"/>
      </w:pBdr>
    </w:pPr>
  </w:p>
  <w:p>
    <w:pPr>
      <w:tabs>
        <w:tab w:pos="9360" w:val="right"/>
      </w:tabs>
    </w:pPr>
    <w:r>
      <w:rPr>
        <w:rFonts w:ascii="Times New Roman" w:hAnsi="Times New Roman"/>
        <w:color w:val="70707B"/>
        <w:sz w:val="18"/>
      </w:rPr>
      <w:t>© 2026 LawAgreements.com. All rights reserved.</w:t>
    </w:r>
    <w:r>
      <w:tab/>
    </w:r>
    <w:r>
      <w:rPr>
        <w:rFonts w:ascii="Times New Roman" w:hAnsi="Times New Roman"/>
        <w:color w:val="70707B"/>
        <w:sz w:val="18"/>
      </w:rPr>
      <w:t xml:space="preserve">Page </w:t>
    </w:r>
    <w:r>
      <w:rPr>
        <w:rFonts w:ascii="Times New Roman" w:hAnsi="Times New Roman"/>
        <w:color w:val="70707B"/>
        <w:sz w:val="18"/>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Title">
    <w:name w:val="SOP Title"/>
    <w:pPr>
      <w:spacing w:after="120"/>
      <w:jc w:val="center"/>
    </w:pPr>
    <w:rPr>
      <w:rFonts w:ascii="Times New Roman" w:hAnsi="Times New Roman"/>
      <w:b/>
      <w:color w:val="09090B"/>
      <w:sz w:val="36"/>
    </w:rPr>
  </w:style>
  <w:style w:type="paragraph" w:customStyle="1" w:styleId="SOPSubtitle">
    <w:name w:val="SOP Subtitle"/>
    <w:pPr>
      <w:spacing w:after="240"/>
      <w:jc w:val="center"/>
    </w:pPr>
    <w:rPr>
      <w:rFonts w:ascii="Times New Roman" w:hAnsi="Times New Roman"/>
      <w:b/>
      <w:color w:val="09090B"/>
      <w:sz w:val="28"/>
    </w:rPr>
  </w:style>
  <w:style w:type="paragraph" w:customStyle="1" w:styleId="SOPHeading1">
    <w:name w:val="SOP Heading 1"/>
    <w:pPr>
      <w:keepNext/>
      <w:spacing w:before="360" w:after="160"/>
    </w:pPr>
    <w:rPr>
      <w:rFonts w:ascii="Times New Roman" w:hAnsi="Times New Roman"/>
      <w:b/>
      <w:color w:val="09090B"/>
      <w:sz w:val="22"/>
    </w:rPr>
  </w:style>
  <w:style w:type="paragraph" w:customStyle="1" w:styleId="SOPHeading2">
    <w:name w:val="SOP Heading 2"/>
    <w:pPr>
      <w:keepNext/>
      <w:spacing w:before="240" w:after="120"/>
    </w:pPr>
    <w:rPr>
      <w:rFonts w:ascii="Times New Roman" w:hAnsi="Times New Roman"/>
      <w:b/>
      <w:color w:val="09090B"/>
      <w:sz w:val="22"/>
    </w:rPr>
  </w:style>
  <w:style w:type="paragraph" w:customStyle="1" w:styleId="SOPBody">
    <w:name w:val="SOP Body"/>
    <w:pPr>
      <w:spacing w:after="120" w:line="276" w:lineRule="auto"/>
    </w:pPr>
    <w:rPr>
      <w:rFonts w:ascii="Times New Roman" w:hAnsi="Times New Roman"/>
      <w:color w:val="09090B"/>
      <w:sz w:val="22"/>
    </w:rPr>
  </w:style>
  <w:style w:type="paragraph" w:customStyle="1" w:styleId="SOPTableHeader">
    <w:name w:val="SOP Table Header"/>
    <w:pPr>
      <w:spacing w:before="60" w:after="60"/>
    </w:pPr>
    <w:rPr>
      <w:rFonts w:ascii="Times New Roman" w:hAnsi="Times New Roman"/>
      <w:b/>
      <w:color w:val="09090B"/>
      <w:sz w:val="22"/>
    </w:rPr>
  </w:style>
  <w:style w:type="paragraph" w:customStyle="1" w:styleId="SOPTableBody">
    <w:name w:val="SOP Table Body"/>
    <w:pPr>
      <w:spacing w:before="40" w:after="40"/>
    </w:pPr>
    <w:rPr>
      <w:rFonts w:ascii="Times New Roman" w:hAnsi="Times New Roman"/>
      <w:color w:val="09090B"/>
      <w:sz w:val="22"/>
    </w:rPr>
  </w:style>
  <w:style w:type="paragraph" w:customStyle="1" w:styleId="SOPFooter">
    <w:name w:val="SOP Footer"/>
    <w:pPr>
      <w:jc w:val="center"/>
    </w:pPr>
    <w:rPr>
      <w:rFonts w:ascii="Times New Roman" w:hAnsi="Times New Roman"/>
      <w:color w:val="70707B"/>
      <w:sz w:val="18"/>
    </w:rPr>
  </w:style>
  <w:style w:type="paragraph" w:customStyle="1" w:styleId="SOPDisclaimer">
    <w:name w:val="SOP Disclaimer"/>
    <w:pPr>
      <w:spacing w:before="480" w:after="120"/>
    </w:pPr>
    <w:rPr>
      <w:rFonts w:ascii="Times New Roman" w:hAnsi="Times New Roman"/>
      <w:i/>
      <w:color w:val="70707B"/>
      <w:sz w:val="18"/>
    </w:rPr>
  </w:style>
  <w:style w:type="paragraph" w:customStyle="1" w:styleId="SOPDisclaimerTitle">
    <w:name w:val="SOP Disclaimer Title"/>
    <w:pPr>
      <w:spacing w:before="480" w:after="120"/>
    </w:pPr>
    <w:rPr>
      <w:rFonts w:ascii="Times New Roman" w:hAnsi="Times New Roman"/>
      <w:b/>
      <w:color w:val="70707B"/>
      <w:sz w:val="20"/>
    </w:rPr>
  </w:style>
  <w:style w:type="paragraph" w:customStyle="1" w:styleId="SOPCheckbox">
    <w:name w:val="SOP Checkbox"/>
    <w:pPr>
      <w:spacing w:after="60"/>
      <w:ind w:left="360"/>
    </w:pPr>
    <w:rPr>
      <w:rFonts w:ascii="Times New Roman" w:hAnsi="Times New Roman"/>
      <w:color w:val="09090B"/>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